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D0" w:rsidRDefault="00EE38D0" w:rsidP="00EE38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19D" w:rsidRPr="00D23219" w:rsidRDefault="0019519D" w:rsidP="00EE3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8D0" w:rsidRPr="00D23219" w:rsidRDefault="00EE38D0" w:rsidP="00EE3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219">
        <w:rPr>
          <w:rFonts w:ascii="Times New Roman" w:hAnsi="Times New Roman" w:cs="Times New Roman"/>
          <w:sz w:val="24"/>
          <w:szCs w:val="24"/>
        </w:rPr>
        <w:t>Республика Мордовия</w:t>
      </w:r>
    </w:p>
    <w:p w:rsidR="00EE38D0" w:rsidRPr="00D23219" w:rsidRDefault="00EE38D0" w:rsidP="00EE3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219">
        <w:rPr>
          <w:rFonts w:ascii="Times New Roman" w:hAnsi="Times New Roman" w:cs="Times New Roman"/>
          <w:sz w:val="24"/>
          <w:szCs w:val="24"/>
        </w:rPr>
        <w:t>Совет депутатов Чамзинского муниципального района</w:t>
      </w:r>
    </w:p>
    <w:p w:rsidR="00EE38D0" w:rsidRPr="00D23219" w:rsidRDefault="00EE38D0" w:rsidP="00EE3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8D0" w:rsidRPr="00D23219" w:rsidRDefault="00EE38D0" w:rsidP="00EE3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1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38D0" w:rsidRPr="00D23219" w:rsidRDefault="00EE38D0" w:rsidP="00EE3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219">
        <w:rPr>
          <w:rFonts w:ascii="Times New Roman" w:hAnsi="Times New Roman" w:cs="Times New Roman"/>
          <w:sz w:val="24"/>
          <w:szCs w:val="24"/>
        </w:rPr>
        <w:t>(</w:t>
      </w:r>
      <w:r w:rsidRPr="00D23219">
        <w:rPr>
          <w:rFonts w:ascii="Times New Roman" w:hAnsi="Times New Roman" w:cs="Times New Roman"/>
          <w:sz w:val="24"/>
          <w:szCs w:val="24"/>
          <w:lang w:val="en-US"/>
        </w:rPr>
        <w:t>XLII</w:t>
      </w:r>
      <w:r w:rsidRPr="00D23219">
        <w:rPr>
          <w:rFonts w:ascii="Times New Roman" w:hAnsi="Times New Roman" w:cs="Times New Roman"/>
          <w:sz w:val="24"/>
          <w:szCs w:val="24"/>
        </w:rPr>
        <w:t>–я внеочередная сессия)</w:t>
      </w:r>
    </w:p>
    <w:p w:rsidR="00EE38D0" w:rsidRPr="00D23219" w:rsidRDefault="00EE38D0" w:rsidP="00EE38D0">
      <w:pPr>
        <w:rPr>
          <w:rFonts w:ascii="Times New Roman" w:hAnsi="Times New Roman" w:cs="Times New Roman"/>
          <w:b/>
          <w:sz w:val="24"/>
          <w:szCs w:val="24"/>
        </w:rPr>
      </w:pPr>
      <w:r w:rsidRPr="00D23219">
        <w:rPr>
          <w:rFonts w:ascii="Times New Roman" w:hAnsi="Times New Roman" w:cs="Times New Roman"/>
          <w:b/>
          <w:sz w:val="24"/>
          <w:szCs w:val="24"/>
        </w:rPr>
        <w:t xml:space="preserve">26.02.2020г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23219">
        <w:rPr>
          <w:rFonts w:ascii="Times New Roman" w:hAnsi="Times New Roman" w:cs="Times New Roman"/>
          <w:b/>
          <w:sz w:val="24"/>
          <w:szCs w:val="24"/>
        </w:rPr>
        <w:t xml:space="preserve">                           № 25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E38D0" w:rsidRPr="00D23219" w:rsidRDefault="00EE38D0" w:rsidP="00EE3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219">
        <w:rPr>
          <w:rFonts w:ascii="Times New Roman" w:hAnsi="Times New Roman" w:cs="Times New Roman"/>
          <w:sz w:val="24"/>
          <w:szCs w:val="24"/>
        </w:rPr>
        <w:t>р.п.Чамзинка</w:t>
      </w:r>
    </w:p>
    <w:p w:rsidR="00B103C8" w:rsidRPr="003E625E" w:rsidRDefault="00B103C8" w:rsidP="00B103C8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03C8" w:rsidRPr="003E625E" w:rsidRDefault="00B103C8" w:rsidP="00B103C8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1611" w:rsidRPr="003E625E" w:rsidRDefault="00B103C8" w:rsidP="00EE38D0">
      <w:pPr>
        <w:pStyle w:val="1"/>
        <w:spacing w:before="0" w:after="0"/>
        <w:rPr>
          <w:rFonts w:ascii="Times New Roman" w:hAnsi="Times New Roman" w:cs="Times New Roman"/>
        </w:rPr>
      </w:pPr>
      <w:r w:rsidRPr="003E625E">
        <w:rPr>
          <w:rFonts w:ascii="Times New Roman" w:hAnsi="Times New Roman" w:cs="Times New Roman"/>
          <w:color w:val="auto"/>
        </w:rPr>
        <w:t>О</w:t>
      </w:r>
      <w:r w:rsidR="00801611" w:rsidRPr="003E625E">
        <w:rPr>
          <w:rFonts w:ascii="Times New Roman" w:hAnsi="Times New Roman" w:cs="Times New Roman"/>
          <w:color w:val="auto"/>
        </w:rPr>
        <w:t xml:space="preserve"> внесении изменений в решение Совета депутатов Чамзинского </w:t>
      </w:r>
      <w:r w:rsidR="00EE38D0">
        <w:rPr>
          <w:rFonts w:ascii="Times New Roman" w:hAnsi="Times New Roman" w:cs="Times New Roman"/>
          <w:color w:val="auto"/>
        </w:rPr>
        <w:t xml:space="preserve"> </w:t>
      </w:r>
      <w:r w:rsidR="00801611" w:rsidRPr="003E625E">
        <w:rPr>
          <w:rFonts w:ascii="Times New Roman" w:hAnsi="Times New Roman" w:cs="Times New Roman"/>
          <w:color w:val="auto"/>
        </w:rPr>
        <w:t>муниципального района от 18.04.2013 года №115 «Об</w:t>
      </w:r>
      <w:r w:rsidRPr="003E625E">
        <w:rPr>
          <w:rFonts w:ascii="Times New Roman" w:hAnsi="Times New Roman" w:cs="Times New Roman"/>
          <w:color w:val="auto"/>
        </w:rPr>
        <w:t xml:space="preserve"> утверждении Положения «Об условиях и размерах оплаты труда выборных </w:t>
      </w:r>
      <w:r w:rsidRPr="003E625E">
        <w:rPr>
          <w:rFonts w:ascii="Times New Roman" w:hAnsi="Times New Roman" w:cs="Times New Roman"/>
        </w:rPr>
        <w:t xml:space="preserve">должностных лиц местного самоуправления, осуществляющих свои </w:t>
      </w:r>
    </w:p>
    <w:p w:rsidR="00801611" w:rsidRPr="003E625E" w:rsidRDefault="00B103C8" w:rsidP="00B103C8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 xml:space="preserve">полномочия на постоянной основе, муниципальных служащих </w:t>
      </w:r>
    </w:p>
    <w:p w:rsidR="00B103C8" w:rsidRPr="003E625E" w:rsidRDefault="00B103C8" w:rsidP="00B103C8">
      <w:pPr>
        <w:pStyle w:val="ConsTitle"/>
        <w:widowControl/>
        <w:tabs>
          <w:tab w:val="left" w:pos="104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>Чамзинского муниципального района»</w:t>
      </w:r>
    </w:p>
    <w:p w:rsidR="00FC5A5C" w:rsidRPr="003E625E" w:rsidRDefault="00FC5A5C">
      <w:pPr>
        <w:ind w:firstLine="720"/>
        <w:jc w:val="both"/>
        <w:rPr>
          <w:sz w:val="24"/>
          <w:szCs w:val="24"/>
        </w:rPr>
      </w:pPr>
    </w:p>
    <w:p w:rsidR="009356A3" w:rsidRPr="003E625E" w:rsidRDefault="00FC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E625E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3E625E">
        <w:rPr>
          <w:rFonts w:ascii="Times New Roman" w:hAnsi="Times New Roman" w:cs="Times New Roman"/>
          <w:sz w:val="24"/>
          <w:szCs w:val="24"/>
        </w:rPr>
        <w:t xml:space="preserve"> от 6 октября 2003 года N 131-ФЗ </w:t>
      </w:r>
      <w:r w:rsidR="009B2533" w:rsidRPr="003E625E">
        <w:rPr>
          <w:rFonts w:ascii="Times New Roman" w:hAnsi="Times New Roman" w:cs="Times New Roman"/>
          <w:sz w:val="24"/>
          <w:szCs w:val="24"/>
        </w:rPr>
        <w:t>«</w:t>
      </w:r>
      <w:r w:rsidRPr="003E625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B2533" w:rsidRPr="003E625E">
        <w:rPr>
          <w:rFonts w:ascii="Times New Roman" w:hAnsi="Times New Roman" w:cs="Times New Roman"/>
          <w:sz w:val="24"/>
          <w:szCs w:val="24"/>
        </w:rPr>
        <w:t>»</w:t>
      </w:r>
      <w:r w:rsidRPr="003E62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56A3" w:rsidRPr="003E625E" w:rsidRDefault="00935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A5C" w:rsidRPr="003E625E" w:rsidRDefault="00FC5A5C" w:rsidP="009356A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25E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Чамзинского муниципального района </w:t>
      </w:r>
      <w:r w:rsidR="009356A3" w:rsidRPr="003E625E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3E62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56A3" w:rsidRPr="003E625E" w:rsidRDefault="009356A3" w:rsidP="009356A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37" w:rsidRPr="003E625E" w:rsidRDefault="00FC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3E625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sub_2"/>
      <w:bookmarkEnd w:id="1"/>
      <w:r w:rsidR="00D56EDA" w:rsidRPr="003E625E">
        <w:rPr>
          <w:rFonts w:ascii="Times New Roman" w:hAnsi="Times New Roman" w:cs="Times New Roman"/>
          <w:sz w:val="24"/>
          <w:szCs w:val="24"/>
        </w:rPr>
        <w:t>Внести в решение Совета депутатов Чамзинского муниципального района от 18.04.2013 года №115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 (далее – Положение) следующие изменения:</w:t>
      </w:r>
    </w:p>
    <w:p w:rsidR="00A16672" w:rsidRPr="003E625E" w:rsidRDefault="00F43700" w:rsidP="0095263D">
      <w:pPr>
        <w:pStyle w:val="s3"/>
        <w:spacing w:before="0" w:beforeAutospacing="0" w:after="0" w:afterAutospacing="0"/>
        <w:ind w:firstLine="720"/>
        <w:jc w:val="both"/>
      </w:pPr>
      <w:r w:rsidRPr="003E625E">
        <w:t>1.</w:t>
      </w:r>
      <w:r w:rsidR="002D0789" w:rsidRPr="003E625E">
        <w:t>1</w:t>
      </w:r>
      <w:r w:rsidRPr="003E625E">
        <w:t xml:space="preserve">. </w:t>
      </w:r>
      <w:r w:rsidR="0095263D" w:rsidRPr="003E625E">
        <w:t>Пр</w:t>
      </w:r>
      <w:r w:rsidRPr="003E625E">
        <w:t>иложени</w:t>
      </w:r>
      <w:r w:rsidR="0095263D" w:rsidRPr="003E625E">
        <w:t>е</w:t>
      </w:r>
      <w:r w:rsidRPr="003E625E">
        <w:t xml:space="preserve"> №</w:t>
      </w:r>
      <w:r w:rsidR="00395836" w:rsidRPr="003E625E">
        <w:t>6</w:t>
      </w:r>
      <w:r w:rsidR="0095263D" w:rsidRPr="003E625E">
        <w:t xml:space="preserve"> </w:t>
      </w:r>
      <w:r w:rsidR="00A16672" w:rsidRPr="003E625E">
        <w:t>изложить в следующей редакции:</w:t>
      </w:r>
    </w:p>
    <w:p w:rsidR="008C49DA" w:rsidRPr="003E625E" w:rsidRDefault="00505E0C" w:rsidP="00EE38D0">
      <w:pPr>
        <w:jc w:val="right"/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 xml:space="preserve">  </w:t>
      </w:r>
      <w:r w:rsidRPr="003E625E">
        <w:rPr>
          <w:rFonts w:ascii="Times New Roman" w:hAnsi="Times New Roman" w:cs="Times New Roman"/>
          <w:sz w:val="24"/>
          <w:szCs w:val="24"/>
        </w:rPr>
        <w:tab/>
      </w:r>
      <w:r w:rsidRPr="003E625E">
        <w:rPr>
          <w:rFonts w:ascii="Times New Roman" w:hAnsi="Times New Roman" w:cs="Times New Roman"/>
          <w:sz w:val="24"/>
          <w:szCs w:val="24"/>
        </w:rPr>
        <w:tab/>
      </w:r>
      <w:r w:rsidRPr="003E625E">
        <w:rPr>
          <w:rFonts w:ascii="Times New Roman" w:hAnsi="Times New Roman" w:cs="Times New Roman"/>
          <w:sz w:val="24"/>
          <w:szCs w:val="24"/>
        </w:rPr>
        <w:tab/>
      </w:r>
      <w:r w:rsidRPr="003E625E">
        <w:rPr>
          <w:rFonts w:ascii="Times New Roman" w:hAnsi="Times New Roman" w:cs="Times New Roman"/>
          <w:sz w:val="24"/>
          <w:szCs w:val="24"/>
        </w:rPr>
        <w:tab/>
      </w:r>
      <w:r w:rsidRPr="003E625E">
        <w:rPr>
          <w:rFonts w:ascii="Times New Roman" w:hAnsi="Times New Roman" w:cs="Times New Roman"/>
          <w:sz w:val="24"/>
          <w:szCs w:val="24"/>
        </w:rPr>
        <w:tab/>
      </w:r>
      <w:r w:rsidRPr="003E625E">
        <w:rPr>
          <w:rFonts w:ascii="Times New Roman" w:hAnsi="Times New Roman" w:cs="Times New Roman"/>
          <w:sz w:val="24"/>
          <w:szCs w:val="24"/>
        </w:rPr>
        <w:tab/>
      </w:r>
      <w:r w:rsidRPr="003E62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4E4E" w:rsidRPr="003E625E">
        <w:rPr>
          <w:rFonts w:ascii="Times New Roman" w:hAnsi="Times New Roman" w:cs="Times New Roman"/>
          <w:sz w:val="24"/>
          <w:szCs w:val="24"/>
        </w:rPr>
        <w:t>«</w:t>
      </w:r>
      <w:r w:rsidR="0095263D" w:rsidRPr="003E625E">
        <w:rPr>
          <w:rFonts w:ascii="Times New Roman" w:hAnsi="Times New Roman" w:cs="Times New Roman"/>
          <w:sz w:val="24"/>
          <w:szCs w:val="24"/>
        </w:rPr>
        <w:t>Приложение N 6</w:t>
      </w:r>
    </w:p>
    <w:p w:rsidR="003E625E" w:rsidRDefault="00505E0C" w:rsidP="00EE38D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anchor="/document/9092680/entry/1000" w:history="1">
        <w:r w:rsidR="0095263D" w:rsidRPr="003E625E">
          <w:rPr>
            <w:rStyle w:val="affff1"/>
            <w:rFonts w:ascii="Times New Roman" w:hAnsi="Times New Roman"/>
            <w:color w:val="auto"/>
            <w:sz w:val="24"/>
            <w:szCs w:val="24"/>
            <w:u w:val="none"/>
          </w:rPr>
          <w:t>Положению</w:t>
        </w:r>
      </w:hyperlink>
      <w:r w:rsidR="0095263D" w:rsidRPr="003E625E">
        <w:rPr>
          <w:rFonts w:ascii="Times New Roman" w:hAnsi="Times New Roman" w:cs="Times New Roman"/>
          <w:sz w:val="24"/>
          <w:szCs w:val="24"/>
        </w:rPr>
        <w:t xml:space="preserve"> </w:t>
      </w:r>
      <w:r w:rsidR="00E73C26" w:rsidRPr="003E625E">
        <w:rPr>
          <w:rFonts w:ascii="Times New Roman" w:hAnsi="Times New Roman" w:cs="Times New Roman"/>
          <w:sz w:val="24"/>
          <w:szCs w:val="24"/>
        </w:rPr>
        <w:t>«</w:t>
      </w:r>
      <w:r w:rsidR="0095263D" w:rsidRPr="003E625E">
        <w:rPr>
          <w:rFonts w:ascii="Times New Roman" w:hAnsi="Times New Roman" w:cs="Times New Roman"/>
          <w:sz w:val="24"/>
          <w:szCs w:val="24"/>
        </w:rPr>
        <w:t xml:space="preserve">Об условиях и </w:t>
      </w:r>
      <w:r w:rsidRPr="003E625E">
        <w:rPr>
          <w:rFonts w:ascii="Times New Roman" w:hAnsi="Times New Roman" w:cs="Times New Roman"/>
          <w:sz w:val="24"/>
          <w:szCs w:val="24"/>
        </w:rPr>
        <w:t>р</w:t>
      </w:r>
      <w:r w:rsidR="0095263D" w:rsidRPr="003E625E">
        <w:rPr>
          <w:rFonts w:ascii="Times New Roman" w:hAnsi="Times New Roman" w:cs="Times New Roman"/>
          <w:sz w:val="24"/>
          <w:szCs w:val="24"/>
        </w:rPr>
        <w:t>азмерах</w:t>
      </w:r>
      <w:r w:rsidR="00E73C26" w:rsidRPr="003E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0A" w:rsidRDefault="003E625E" w:rsidP="00EE38D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95263D" w:rsidRPr="003E625E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63D" w:rsidRPr="003E625E">
        <w:rPr>
          <w:rFonts w:ascii="Times New Roman" w:hAnsi="Times New Roman" w:cs="Times New Roman"/>
          <w:sz w:val="24"/>
          <w:szCs w:val="24"/>
        </w:rPr>
        <w:t>труда</w:t>
      </w:r>
      <w:r w:rsidR="00E73C26" w:rsidRPr="003E625E">
        <w:rPr>
          <w:rFonts w:ascii="Times New Roman" w:hAnsi="Times New Roman" w:cs="Times New Roman"/>
          <w:sz w:val="24"/>
          <w:szCs w:val="24"/>
        </w:rPr>
        <w:t xml:space="preserve"> </w:t>
      </w:r>
      <w:r w:rsidR="0095263D" w:rsidRPr="003E625E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63D" w:rsidRPr="003E625E">
        <w:rPr>
          <w:rFonts w:ascii="Times New Roman" w:hAnsi="Times New Roman" w:cs="Times New Roman"/>
          <w:sz w:val="24"/>
          <w:szCs w:val="24"/>
        </w:rPr>
        <w:t>местного</w:t>
      </w:r>
      <w:r w:rsidR="00E73C26" w:rsidRPr="003E625E">
        <w:rPr>
          <w:rFonts w:ascii="Times New Roman" w:hAnsi="Times New Roman" w:cs="Times New Roman"/>
          <w:sz w:val="24"/>
          <w:szCs w:val="24"/>
        </w:rPr>
        <w:t xml:space="preserve"> </w:t>
      </w:r>
      <w:r w:rsidR="00733E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E0A" w:rsidRDefault="00733E0A" w:rsidP="00EE38D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625E">
        <w:rPr>
          <w:rFonts w:ascii="Times New Roman" w:hAnsi="Times New Roman" w:cs="Times New Roman"/>
          <w:sz w:val="24"/>
          <w:szCs w:val="24"/>
        </w:rPr>
        <w:t>с</w:t>
      </w:r>
      <w:r w:rsidR="0095263D" w:rsidRPr="003E625E">
        <w:rPr>
          <w:rFonts w:ascii="Times New Roman" w:hAnsi="Times New Roman" w:cs="Times New Roman"/>
          <w:sz w:val="24"/>
          <w:szCs w:val="24"/>
        </w:rPr>
        <w:t>амоуправления, осуществляющих</w:t>
      </w:r>
      <w:r w:rsidR="00E73C26" w:rsidRPr="003E625E">
        <w:rPr>
          <w:rFonts w:ascii="Times New Roman" w:hAnsi="Times New Roman" w:cs="Times New Roman"/>
          <w:sz w:val="24"/>
          <w:szCs w:val="24"/>
        </w:rPr>
        <w:t xml:space="preserve"> </w:t>
      </w:r>
      <w:r w:rsidR="0095263D" w:rsidRPr="003E625E">
        <w:rPr>
          <w:rFonts w:ascii="Times New Roman" w:hAnsi="Times New Roman" w:cs="Times New Roman"/>
          <w:sz w:val="24"/>
          <w:szCs w:val="24"/>
        </w:rPr>
        <w:t xml:space="preserve">свои </w:t>
      </w:r>
    </w:p>
    <w:p w:rsidR="00733E0A" w:rsidRDefault="00733E0A" w:rsidP="00EE38D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63D" w:rsidRPr="003E625E">
        <w:rPr>
          <w:rFonts w:ascii="Times New Roman" w:hAnsi="Times New Roman" w:cs="Times New Roman"/>
          <w:sz w:val="24"/>
          <w:szCs w:val="24"/>
        </w:rPr>
        <w:t>полномочия на</w:t>
      </w:r>
      <w:r w:rsidR="00505E0C" w:rsidRPr="003E625E">
        <w:rPr>
          <w:rFonts w:ascii="Times New Roman" w:hAnsi="Times New Roman" w:cs="Times New Roman"/>
          <w:sz w:val="24"/>
          <w:szCs w:val="24"/>
        </w:rPr>
        <w:t xml:space="preserve"> </w:t>
      </w:r>
      <w:r w:rsidR="0095263D" w:rsidRPr="003E625E">
        <w:rPr>
          <w:rFonts w:ascii="Times New Roman" w:hAnsi="Times New Roman" w:cs="Times New Roman"/>
          <w:sz w:val="24"/>
          <w:szCs w:val="24"/>
        </w:rPr>
        <w:t>постоянной основе,</w:t>
      </w:r>
      <w:r w:rsidR="00E73C26" w:rsidRPr="003E6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63D" w:rsidRPr="003E625E" w:rsidRDefault="00733E0A" w:rsidP="00EE38D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63D" w:rsidRPr="003E625E">
        <w:rPr>
          <w:rFonts w:ascii="Times New Roman" w:hAnsi="Times New Roman" w:cs="Times New Roman"/>
          <w:sz w:val="24"/>
          <w:szCs w:val="24"/>
        </w:rPr>
        <w:t>муниципальных служащих Чамзинского</w:t>
      </w:r>
      <w:r w:rsidR="00505E0C" w:rsidRPr="003E625E">
        <w:rPr>
          <w:rFonts w:ascii="Times New Roman" w:hAnsi="Times New Roman" w:cs="Times New Roman"/>
          <w:sz w:val="24"/>
          <w:szCs w:val="24"/>
        </w:rPr>
        <w:t xml:space="preserve"> </w:t>
      </w:r>
      <w:r w:rsidR="0095263D" w:rsidRPr="003E625E">
        <w:rPr>
          <w:rFonts w:ascii="Times New Roman" w:hAnsi="Times New Roman" w:cs="Times New Roman"/>
          <w:sz w:val="24"/>
          <w:szCs w:val="24"/>
        </w:rPr>
        <w:br/>
      </w:r>
      <w:r w:rsidR="00505E0C" w:rsidRPr="003E625E">
        <w:rPr>
          <w:rFonts w:ascii="Times New Roman" w:hAnsi="Times New Roman" w:cs="Times New Roman"/>
          <w:sz w:val="24"/>
          <w:szCs w:val="24"/>
        </w:rPr>
        <w:t xml:space="preserve">  </w:t>
      </w:r>
      <w:r w:rsidR="0095263D" w:rsidRPr="003E625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73C26" w:rsidRPr="003E625E">
        <w:rPr>
          <w:rFonts w:ascii="Times New Roman" w:hAnsi="Times New Roman" w:cs="Times New Roman"/>
          <w:sz w:val="24"/>
          <w:szCs w:val="24"/>
        </w:rPr>
        <w:t>»</w:t>
      </w:r>
    </w:p>
    <w:p w:rsidR="008C49DA" w:rsidRPr="00EE38D0" w:rsidRDefault="008C49DA" w:rsidP="00EE38D0">
      <w:pPr>
        <w:pStyle w:val="s3"/>
        <w:jc w:val="right"/>
        <w:rPr>
          <w:sz w:val="16"/>
          <w:szCs w:val="16"/>
        </w:rPr>
      </w:pPr>
    </w:p>
    <w:p w:rsidR="008C49DA" w:rsidRPr="003E625E" w:rsidRDefault="0095263D" w:rsidP="008C49DA">
      <w:pPr>
        <w:pStyle w:val="s3"/>
        <w:spacing w:before="0" w:beforeAutospacing="0" w:after="0" w:afterAutospacing="0"/>
        <w:jc w:val="center"/>
      </w:pPr>
      <w:r w:rsidRPr="003E625E">
        <w:t>Перечень и значимость</w:t>
      </w:r>
      <w:r w:rsidRPr="003E625E">
        <w:br/>
        <w:t xml:space="preserve">ежемесячных и ежеквартальных показателей (индикаторов) эффективности </w:t>
      </w:r>
    </w:p>
    <w:p w:rsidR="008C49DA" w:rsidRPr="003E625E" w:rsidRDefault="0095263D" w:rsidP="008C49DA">
      <w:pPr>
        <w:pStyle w:val="s3"/>
        <w:spacing w:before="0" w:beforeAutospacing="0" w:after="0" w:afterAutospacing="0"/>
        <w:jc w:val="center"/>
      </w:pPr>
      <w:r w:rsidRPr="003E625E">
        <w:t xml:space="preserve">управленческой деятельности органов местного самоуправления </w:t>
      </w:r>
    </w:p>
    <w:p w:rsidR="0095263D" w:rsidRPr="003E625E" w:rsidRDefault="0095263D" w:rsidP="008C49DA">
      <w:pPr>
        <w:pStyle w:val="s3"/>
        <w:spacing w:before="0" w:beforeAutospacing="0" w:after="0" w:afterAutospacing="0"/>
        <w:jc w:val="center"/>
      </w:pPr>
      <w:r w:rsidRPr="003E625E">
        <w:t>Чамзинского муниципального района Республики Мордовия</w:t>
      </w:r>
    </w:p>
    <w:p w:rsidR="0095263D" w:rsidRPr="003E625E" w:rsidRDefault="0095263D" w:rsidP="0095263D">
      <w:pPr>
        <w:pStyle w:val="4"/>
        <w:rPr>
          <w:rFonts w:ascii="Times New Roman" w:hAnsi="Times New Roman" w:cs="Times New Roman"/>
        </w:rPr>
      </w:pPr>
    </w:p>
    <w:tbl>
      <w:tblPr>
        <w:tblW w:w="104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59"/>
        <w:gridCol w:w="6018"/>
        <w:gridCol w:w="1632"/>
        <w:gridCol w:w="61"/>
        <w:gridCol w:w="2057"/>
      </w:tblGrid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vMerge w:val="restart"/>
            <w:hideMark/>
          </w:tcPr>
          <w:p w:rsidR="0095263D" w:rsidRPr="003E625E" w:rsidRDefault="0095263D">
            <w:pPr>
              <w:pStyle w:val="empty"/>
            </w:pPr>
            <w:r w:rsidRPr="003E625E">
              <w:t> </w:t>
            </w:r>
          </w:p>
        </w:tc>
        <w:tc>
          <w:tcPr>
            <w:tcW w:w="5988" w:type="dxa"/>
            <w:vMerge w:val="restart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Наименование показателя (индикатора)</w:t>
            </w:r>
          </w:p>
        </w:tc>
        <w:tc>
          <w:tcPr>
            <w:tcW w:w="3705" w:type="dxa"/>
            <w:gridSpan w:val="3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Значимость (доля) показателей для подведения итогов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5263D" w:rsidRPr="003E625E" w:rsidRDefault="0095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vMerge/>
            <w:vAlign w:val="center"/>
            <w:hideMark/>
          </w:tcPr>
          <w:p w:rsidR="0095263D" w:rsidRPr="003E625E" w:rsidRDefault="0095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ежемесячные</w:t>
            </w:r>
          </w:p>
        </w:tc>
        <w:tc>
          <w:tcPr>
            <w:tcW w:w="2012" w:type="dxa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ежеквартальные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1</w:t>
            </w:r>
          </w:p>
        </w:tc>
        <w:tc>
          <w:tcPr>
            <w:tcW w:w="5988" w:type="dxa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2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3</w:t>
            </w:r>
          </w:p>
        </w:tc>
        <w:tc>
          <w:tcPr>
            <w:tcW w:w="2012" w:type="dxa"/>
            <w:hideMark/>
          </w:tcPr>
          <w:p w:rsidR="0095263D" w:rsidRPr="003E625E" w:rsidRDefault="0095263D">
            <w:pPr>
              <w:pStyle w:val="s1"/>
              <w:jc w:val="center"/>
            </w:pPr>
            <w:r w:rsidRPr="003E625E">
              <w:t>4</w:t>
            </w:r>
          </w:p>
        </w:tc>
      </w:tr>
      <w:tr w:rsidR="008C49DA" w:rsidRPr="003E625E" w:rsidTr="00733E0A">
        <w:trPr>
          <w:trHeight w:val="1368"/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поступления налоговых и неналоговых доходов консолидированного бюджета муниципального района (нарастающим итогом с начала года), без учета доходов от продажи материальных и нематериальных активов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30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20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2.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 xml:space="preserve">Темп роста объемов отгруженных товаров собственного </w:t>
            </w:r>
            <w:r w:rsidRPr="003E625E">
              <w:lastRenderedPageBreak/>
              <w:t>производства, выполненных работ и услуг собственными силами в сопоставимых ценах по видам деятельности "Обрабатывающие производства", "Обеспечение электрической энергией, газом и паром, кондиционирование воздуха", "Водоснабжение, водоотведение, организация сбора и утилизации отходов, деятельность по ликвидации загрязнений" по муниципальному району к соответствующему периоду прошлого года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lastRenderedPageBreak/>
              <w:t>10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3.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объема закупок молока в сельскохозяйственных организациях и крестьянских (фермерских) хозяйствах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15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4.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Динамика поголовья КРС в сельскохозяйственных организациях и крестьянских (фермерских) хозяйствах в пересчете на условные головы к уровню 1 января 201</w:t>
            </w:r>
            <w:r w:rsidR="00DD3A4F" w:rsidRPr="003E625E">
              <w:t>9</w:t>
            </w:r>
            <w:r w:rsidRPr="003E625E">
              <w:t xml:space="preserve"> года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10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Динамика поголовья КРС во всех категориях хозяйств в перерасчете на условные головы к уровню 1 января 201</w:t>
            </w:r>
            <w:r w:rsidR="00DD3A4F" w:rsidRPr="003E625E">
              <w:t>9</w:t>
            </w:r>
            <w:r w:rsidRPr="003E625E">
              <w:t xml:space="preserve"> года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6.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оборота розничной торговли во всех каналах реализации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10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7.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плана информационно-разъяснительной работы среди населения:</w:t>
            </w:r>
          </w:p>
          <w:p w:rsidR="0095263D" w:rsidRPr="003E625E" w:rsidRDefault="0095263D" w:rsidP="0095263D">
            <w:pPr>
              <w:pStyle w:val="s1"/>
            </w:pPr>
            <w:r w:rsidRPr="003E625E">
              <w:t>- о необходимости участия собственников жилья в реализации программ капитального ремонта многоквартирных домов, в том числе с участием средств НО "Республиканский Фонд капитального ремонта многоквартирных домов";</w:t>
            </w:r>
          </w:p>
          <w:p w:rsidR="0095263D" w:rsidRPr="003E625E" w:rsidRDefault="0095263D" w:rsidP="0095263D">
            <w:pPr>
              <w:pStyle w:val="s1"/>
            </w:pPr>
            <w:r w:rsidRPr="003E625E">
              <w:t>- о необходимости оплаты взносов за капитальный ремонт общего имущества многоквартирных домов и жилого фонда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8.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реализации водки и ЛВИ местного производства (</w:t>
            </w:r>
            <w:hyperlink r:id="rId6" w:anchor="/document/9092680/entry/901" w:history="1">
              <w:r w:rsidRPr="003E625E">
                <w:rPr>
                  <w:rStyle w:val="affff1"/>
                  <w:color w:val="auto"/>
                </w:rPr>
                <w:t>*</w:t>
              </w:r>
            </w:hyperlink>
            <w:r w:rsidRPr="003E625E">
              <w:t>)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10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9.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реализации пива местного производства (</w:t>
            </w:r>
            <w:hyperlink r:id="rId7" w:anchor="/document/9092680/entry/902" w:history="1">
              <w:r w:rsidRPr="003E625E">
                <w:rPr>
                  <w:rStyle w:val="affff1"/>
                  <w:color w:val="auto"/>
                </w:rPr>
                <w:t>**</w:t>
              </w:r>
            </w:hyperlink>
            <w:r w:rsidRPr="003E625E">
              <w:t>)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10.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объема закупок скота и птицы в сельскохозяйственных организациях и крестьянских (фермерских) хозяйствах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11.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 xml:space="preserve">Темп роста среднемесячной номинальной начисленной заработной платы в целом по муниципальному району к соответствующему периоду прошлого года 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10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12.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 xml:space="preserve">Динамика просроченной задолженности по заработной плате работников по наблюдаемым видам деятельности в целом по муниципальному району к соответствующему </w:t>
            </w:r>
            <w:r w:rsidRPr="003E625E">
              <w:lastRenderedPageBreak/>
              <w:t>периоду прошлого года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lastRenderedPageBreak/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13.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по объему общей площади введенного в эксплуатацию жилья с учетом индивидуального жилищного строительства за квартал и за год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14.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Динамика численности безработных граждан, зарегистрированных в органах службы занятости на конец отчетного периода, к концу предыдущего года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15.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Доля объектов недвижимого имущества, на которые зарегистрировано вещное (обязательное) право в общем количестве объектов недвижимости, закрепленных на соответствующем вещном праве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2,5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16.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 xml:space="preserve">Участие в реализации </w:t>
            </w:r>
            <w:hyperlink r:id="rId8" w:anchor="/document/8901352/entry/10000" w:history="1">
              <w:r w:rsidRPr="003E625E">
                <w:rPr>
                  <w:rStyle w:val="affff1"/>
                  <w:color w:val="auto"/>
                </w:rPr>
                <w:t>Республиканской адресной программы</w:t>
              </w:r>
            </w:hyperlink>
            <w:r w:rsidRPr="003E625E">
              <w:t xml:space="preserve"> "Проведение капитального ремонта общего имущества в многоквартирных домах, расположенных на территории Республики Мордовия" на 2014 - 2043 годы </w:t>
            </w:r>
            <w:hyperlink r:id="rId9" w:anchor="/document/9092680/entry/903" w:history="1">
              <w:r w:rsidRPr="003E625E">
                <w:rPr>
                  <w:rStyle w:val="affff1"/>
                  <w:color w:val="auto"/>
                </w:rPr>
                <w:t>***</w:t>
              </w:r>
            </w:hyperlink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17.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прогноза по объему инвестиций в основной капитал (за исключением бюджетных средств)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10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18.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Динамика естественного прироста (убыли) населения по сравнению с аналогичным периодом прошлого года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19.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Выполнение плана по численности жителей старше 14 лет, зарегистрированных в Единой системе идентификации и аутентификации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20.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 xml:space="preserve">Доля площади земельных участков, расположенных на территории муниципального образования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такого муниципального образования (без учета земель, покрытых поверхностными водными объектами, земель лесного фонда и земель запаса 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Динамика задолженности по налогам (по местным налогам, ЕНВД, НДФЛ) в консолидированный бюджет муниципального района Республики Мордовия к уровню на конец предыдущего квартала, (оценивается Министерством финансов Республики Мордовия)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Доля населенных пунктов муниципального образования, сведения о границах которых внесены в Единый государственный реестр недвижимости, в общем количестве населенных пунктов муниципального образования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 xml:space="preserve">Доля количества земельных участков с границами, установленными в соответствии с требованиями </w:t>
            </w:r>
            <w:r w:rsidRPr="003E625E">
              <w:lastRenderedPageBreak/>
              <w:t xml:space="preserve">законодательства Российской Федерации, и с расположенными на них объектами недвижимости, права на которые зарегистрированы в соответствии с </w:t>
            </w:r>
            <w:hyperlink r:id="rId10" w:anchor="/document/71129192/entry/0" w:history="1">
              <w:r w:rsidRPr="003E625E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3E625E">
              <w:t xml:space="preserve"> от 13 июля 2015 г. N 218-ФЗ "О государственной регистрации недвижимости", в общем количестве земельных участков, учтенных в Едином государственном реестре недвижимости (за исключением земельных участков образованных и предоставленных для целей, не связанных со строительством)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lastRenderedPageBreak/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2,5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Организация противопожарной безопасности и выполнение плана информационно-разъяснительной, профилактической работы среди населения о мерах по организации противопожарной безопасности на территории муниципального района, (оценивается Министерством жилищно-коммунального хозяйства, энергетики и гражданской защиты населения Республики Мордовия)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2,5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655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5988" w:type="dxa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Сокращение численности работников муниципальных учреждений на 10%</w:t>
            </w:r>
          </w:p>
        </w:tc>
        <w:tc>
          <w:tcPr>
            <w:tcW w:w="1663" w:type="dxa"/>
            <w:gridSpan w:val="2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-</w:t>
            </w:r>
          </w:p>
        </w:tc>
        <w:tc>
          <w:tcPr>
            <w:tcW w:w="201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2,5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10406" w:type="dxa"/>
            <w:gridSpan w:val="6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Показатели депремирования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596" w:type="dxa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6047" w:type="dxa"/>
            <w:gridSpan w:val="2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Нарушение трудовой дисциплины</w:t>
            </w:r>
          </w:p>
        </w:tc>
        <w:tc>
          <w:tcPr>
            <w:tcW w:w="160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до 50</w:t>
            </w:r>
          </w:p>
        </w:tc>
        <w:tc>
          <w:tcPr>
            <w:tcW w:w="2073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596" w:type="dxa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6047" w:type="dxa"/>
            <w:gridSpan w:val="2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Нарушение порядка и сроков рассмотрения обращений физических и юридических лиц</w:t>
            </w:r>
          </w:p>
        </w:tc>
        <w:tc>
          <w:tcPr>
            <w:tcW w:w="160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до 50</w:t>
            </w:r>
          </w:p>
        </w:tc>
        <w:tc>
          <w:tcPr>
            <w:tcW w:w="2073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</w:tr>
      <w:tr w:rsidR="008C49DA" w:rsidRPr="003E625E" w:rsidTr="00733E0A">
        <w:trPr>
          <w:tblCellSpacing w:w="15" w:type="dxa"/>
        </w:trPr>
        <w:tc>
          <w:tcPr>
            <w:tcW w:w="596" w:type="dxa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  <w:tc>
          <w:tcPr>
            <w:tcW w:w="6047" w:type="dxa"/>
            <w:gridSpan w:val="2"/>
            <w:hideMark/>
          </w:tcPr>
          <w:p w:rsidR="0095263D" w:rsidRPr="003E625E" w:rsidRDefault="0095263D" w:rsidP="0095263D">
            <w:pPr>
              <w:pStyle w:val="s1"/>
            </w:pPr>
            <w:r w:rsidRPr="003E625E">
              <w:t>Нарушение исполнительской дисциплины</w:t>
            </w:r>
          </w:p>
        </w:tc>
        <w:tc>
          <w:tcPr>
            <w:tcW w:w="1602" w:type="dxa"/>
            <w:hideMark/>
          </w:tcPr>
          <w:p w:rsidR="0095263D" w:rsidRPr="003E625E" w:rsidRDefault="0095263D" w:rsidP="0095263D">
            <w:pPr>
              <w:pStyle w:val="s1"/>
              <w:jc w:val="center"/>
            </w:pPr>
            <w:r w:rsidRPr="003E625E">
              <w:t>до 100</w:t>
            </w:r>
          </w:p>
        </w:tc>
        <w:tc>
          <w:tcPr>
            <w:tcW w:w="2073" w:type="dxa"/>
            <w:gridSpan w:val="2"/>
            <w:hideMark/>
          </w:tcPr>
          <w:p w:rsidR="0095263D" w:rsidRPr="003E625E" w:rsidRDefault="0095263D" w:rsidP="0095263D">
            <w:pPr>
              <w:pStyle w:val="empty"/>
            </w:pPr>
            <w:r w:rsidRPr="003E625E">
              <w:t> </w:t>
            </w:r>
          </w:p>
        </w:tc>
      </w:tr>
    </w:tbl>
    <w:p w:rsidR="00505E0C" w:rsidRPr="003E625E" w:rsidRDefault="00505E0C" w:rsidP="00505E0C">
      <w:pPr>
        <w:pStyle w:val="s1"/>
        <w:jc w:val="both"/>
      </w:pPr>
      <w:r w:rsidRPr="003E625E">
        <w:t xml:space="preserve">* Значимость (доля) ежемесячного показателя для подведения итогов не рассчитывается (равна "0"), если выполнение прогноза реализации водки и ЛВИ местного производства составляет менее 60 процентов. В случае отсутствия прогнозного значения данного показателя, фактический процент исполнения показателя засчитывается в размере 100%. </w:t>
      </w:r>
    </w:p>
    <w:p w:rsidR="00505E0C" w:rsidRPr="003E625E" w:rsidRDefault="00505E0C" w:rsidP="00505E0C">
      <w:pPr>
        <w:pStyle w:val="empty"/>
        <w:jc w:val="both"/>
      </w:pPr>
      <w:r w:rsidRPr="003E625E">
        <w:t>** Значимость (доля) ежемесячного показателя для подведения итогов не рассчитывается (равна "0"), если выполнение прогноза реализации пива местного производства составляет менее 60 процентов. В случае отсутствия прогнозного значения данного показателя, фактический процент исполнения показателя засчитывается в размере 100%.</w:t>
      </w:r>
    </w:p>
    <w:p w:rsidR="0095263D" w:rsidRPr="003E625E" w:rsidRDefault="0095263D" w:rsidP="0095263D">
      <w:pPr>
        <w:pStyle w:val="s1"/>
      </w:pPr>
      <w:r w:rsidRPr="003E625E">
        <w:t>*** Значимость (доля) показателя для подведения итогов не рассчитывается (равна "0"), если муниципальный район не принимает участие в реализации Программы.</w:t>
      </w:r>
    </w:p>
    <w:p w:rsidR="00A22B48" w:rsidRPr="003E625E" w:rsidRDefault="002D0789" w:rsidP="00EE38D0">
      <w:pPr>
        <w:jc w:val="both"/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EDA" w:rsidRPr="003E625E">
        <w:rPr>
          <w:rFonts w:ascii="Times New Roman" w:hAnsi="Times New Roman" w:cs="Times New Roman"/>
          <w:sz w:val="24"/>
          <w:szCs w:val="24"/>
        </w:rPr>
        <w:t>2</w:t>
      </w:r>
      <w:r w:rsidR="005B6F37" w:rsidRPr="003E625E">
        <w:rPr>
          <w:rFonts w:ascii="Times New Roman" w:hAnsi="Times New Roman" w:cs="Times New Roman"/>
          <w:sz w:val="24"/>
          <w:szCs w:val="24"/>
        </w:rPr>
        <w:t>.</w:t>
      </w:r>
      <w:bookmarkStart w:id="3" w:name="sub_3"/>
      <w:bookmarkEnd w:id="2"/>
      <w:r w:rsidR="0054781C" w:rsidRPr="003E625E">
        <w:rPr>
          <w:rFonts w:ascii="Times New Roman" w:hAnsi="Times New Roman" w:cs="Times New Roman"/>
          <w:sz w:val="24"/>
          <w:szCs w:val="24"/>
        </w:rPr>
        <w:t xml:space="preserve"> </w:t>
      </w:r>
      <w:r w:rsidR="00FC5A5C" w:rsidRPr="003E625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356A3" w:rsidRPr="003E625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C5A5C" w:rsidRPr="003E625E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hyperlink r:id="rId11" w:history="1">
        <w:r w:rsidR="00FC5A5C" w:rsidRPr="003E625E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официального опубликования</w:t>
        </w:r>
      </w:hyperlink>
      <w:r w:rsidR="00FC5A5C" w:rsidRPr="003E625E">
        <w:rPr>
          <w:rFonts w:ascii="Times New Roman" w:hAnsi="Times New Roman" w:cs="Times New Roman"/>
          <w:sz w:val="24"/>
          <w:szCs w:val="24"/>
        </w:rPr>
        <w:t xml:space="preserve"> в </w:t>
      </w:r>
      <w:r w:rsidRPr="003E625E">
        <w:rPr>
          <w:rFonts w:ascii="Times New Roman" w:hAnsi="Times New Roman" w:cs="Times New Roman"/>
          <w:sz w:val="24"/>
          <w:szCs w:val="24"/>
        </w:rPr>
        <w:t>И</w:t>
      </w:r>
      <w:r w:rsidR="009356A3" w:rsidRPr="003E625E">
        <w:rPr>
          <w:rFonts w:ascii="Times New Roman" w:hAnsi="Times New Roman" w:cs="Times New Roman"/>
          <w:sz w:val="24"/>
          <w:szCs w:val="24"/>
        </w:rPr>
        <w:t>нформационном бюллетене Чамзинского муниципального района</w:t>
      </w:r>
      <w:r w:rsidR="00FC5A5C" w:rsidRPr="003E625E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</w:t>
      </w:r>
      <w:r w:rsidR="0008381B" w:rsidRPr="003E625E">
        <w:rPr>
          <w:rFonts w:ascii="Times New Roman" w:hAnsi="Times New Roman" w:cs="Times New Roman"/>
          <w:sz w:val="24"/>
          <w:szCs w:val="24"/>
        </w:rPr>
        <w:t>января</w:t>
      </w:r>
      <w:r w:rsidR="00646446" w:rsidRPr="003E625E">
        <w:rPr>
          <w:rFonts w:ascii="Times New Roman" w:hAnsi="Times New Roman" w:cs="Times New Roman"/>
          <w:sz w:val="24"/>
          <w:szCs w:val="24"/>
        </w:rPr>
        <w:t xml:space="preserve"> 20</w:t>
      </w:r>
      <w:r w:rsidR="0008381B" w:rsidRPr="003E625E">
        <w:rPr>
          <w:rFonts w:ascii="Times New Roman" w:hAnsi="Times New Roman" w:cs="Times New Roman"/>
          <w:sz w:val="24"/>
          <w:szCs w:val="24"/>
        </w:rPr>
        <w:t>20</w:t>
      </w:r>
      <w:r w:rsidR="00FC5A5C" w:rsidRPr="003E625E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3"/>
      <w:r w:rsidR="00D56EDA" w:rsidRPr="003E625E">
        <w:rPr>
          <w:rFonts w:ascii="Times New Roman" w:hAnsi="Times New Roman" w:cs="Times New Roman"/>
          <w:sz w:val="24"/>
          <w:szCs w:val="24"/>
        </w:rPr>
        <w:t>.</w:t>
      </w:r>
    </w:p>
    <w:p w:rsidR="0008381B" w:rsidRPr="003E625E" w:rsidRDefault="0008381B" w:rsidP="002D0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4BF" w:rsidRPr="003E625E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3E62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33E0A">
        <w:rPr>
          <w:rFonts w:ascii="Times New Roman" w:hAnsi="Times New Roman" w:cs="Times New Roman"/>
          <w:sz w:val="24"/>
          <w:szCs w:val="24"/>
        </w:rPr>
        <w:t xml:space="preserve">    </w:t>
      </w:r>
      <w:r w:rsidRPr="003E625E"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5044BF" w:rsidRPr="003E625E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      Чамзинского муниципального района</w:t>
      </w:r>
    </w:p>
    <w:p w:rsidR="005044BF" w:rsidRPr="003E625E" w:rsidRDefault="005044BF" w:rsidP="005044BF">
      <w:pPr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         Республики Мордовия</w:t>
      </w:r>
    </w:p>
    <w:p w:rsidR="00CB10D4" w:rsidRDefault="005044BF" w:rsidP="00BC6373">
      <w:pPr>
        <w:rPr>
          <w:rFonts w:ascii="Times New Roman" w:hAnsi="Times New Roman" w:cs="Times New Roman"/>
          <w:sz w:val="24"/>
          <w:szCs w:val="24"/>
        </w:rPr>
      </w:pPr>
      <w:r w:rsidRPr="003E625E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                      ____________________ В.Г. Цыбаков </w:t>
      </w:r>
    </w:p>
    <w:p w:rsidR="00EE38D0" w:rsidRDefault="00EE38D0" w:rsidP="00BC6373">
      <w:pPr>
        <w:rPr>
          <w:rFonts w:ascii="Times New Roman" w:hAnsi="Times New Roman" w:cs="Times New Roman"/>
          <w:sz w:val="24"/>
          <w:szCs w:val="24"/>
        </w:rPr>
      </w:pPr>
    </w:p>
    <w:p w:rsidR="00EE38D0" w:rsidRPr="003E625E" w:rsidRDefault="00EE38D0" w:rsidP="00BC6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2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E38D0" w:rsidRPr="003E625E" w:rsidSect="00782EB4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2"/>
    <w:rsid w:val="00031E6B"/>
    <w:rsid w:val="000320B1"/>
    <w:rsid w:val="00082635"/>
    <w:rsid w:val="0008381B"/>
    <w:rsid w:val="00087B66"/>
    <w:rsid w:val="000941DE"/>
    <w:rsid w:val="0009660D"/>
    <w:rsid w:val="000971C1"/>
    <w:rsid w:val="000F198A"/>
    <w:rsid w:val="000F71E2"/>
    <w:rsid w:val="001001DF"/>
    <w:rsid w:val="00107AAB"/>
    <w:rsid w:val="00162771"/>
    <w:rsid w:val="0019519D"/>
    <w:rsid w:val="001D7B6D"/>
    <w:rsid w:val="001E5D53"/>
    <w:rsid w:val="00211A63"/>
    <w:rsid w:val="00222B06"/>
    <w:rsid w:val="0022385D"/>
    <w:rsid w:val="00241B86"/>
    <w:rsid w:val="00290ADA"/>
    <w:rsid w:val="0029141A"/>
    <w:rsid w:val="002965BE"/>
    <w:rsid w:val="002D0789"/>
    <w:rsid w:val="002E175B"/>
    <w:rsid w:val="00376100"/>
    <w:rsid w:val="00395836"/>
    <w:rsid w:val="003B07F5"/>
    <w:rsid w:val="003B53EA"/>
    <w:rsid w:val="003D19AF"/>
    <w:rsid w:val="003E625E"/>
    <w:rsid w:val="003F4E4E"/>
    <w:rsid w:val="00434870"/>
    <w:rsid w:val="00443D52"/>
    <w:rsid w:val="00452406"/>
    <w:rsid w:val="00464E69"/>
    <w:rsid w:val="004C53BF"/>
    <w:rsid w:val="004C7CFB"/>
    <w:rsid w:val="004F0FE3"/>
    <w:rsid w:val="005044BF"/>
    <w:rsid w:val="00505E0C"/>
    <w:rsid w:val="00521459"/>
    <w:rsid w:val="00537AF5"/>
    <w:rsid w:val="0054781C"/>
    <w:rsid w:val="00590FC9"/>
    <w:rsid w:val="005B4920"/>
    <w:rsid w:val="005B5AC2"/>
    <w:rsid w:val="005B6F37"/>
    <w:rsid w:val="005D0456"/>
    <w:rsid w:val="005D42F6"/>
    <w:rsid w:val="005F1D57"/>
    <w:rsid w:val="006427B1"/>
    <w:rsid w:val="00646446"/>
    <w:rsid w:val="00655D9A"/>
    <w:rsid w:val="006806EA"/>
    <w:rsid w:val="006D6779"/>
    <w:rsid w:val="006E399E"/>
    <w:rsid w:val="00701D70"/>
    <w:rsid w:val="00705449"/>
    <w:rsid w:val="00733E0A"/>
    <w:rsid w:val="0074388A"/>
    <w:rsid w:val="00750936"/>
    <w:rsid w:val="0075431D"/>
    <w:rsid w:val="007728DB"/>
    <w:rsid w:val="0077380F"/>
    <w:rsid w:val="00782EB4"/>
    <w:rsid w:val="0079594C"/>
    <w:rsid w:val="007D752D"/>
    <w:rsid w:val="007F4ED6"/>
    <w:rsid w:val="00801611"/>
    <w:rsid w:val="008025AA"/>
    <w:rsid w:val="0082112C"/>
    <w:rsid w:val="00836951"/>
    <w:rsid w:val="00850D77"/>
    <w:rsid w:val="00862A61"/>
    <w:rsid w:val="008C0583"/>
    <w:rsid w:val="008C49DA"/>
    <w:rsid w:val="008C69EF"/>
    <w:rsid w:val="008F6190"/>
    <w:rsid w:val="00901089"/>
    <w:rsid w:val="009356A3"/>
    <w:rsid w:val="00946E0B"/>
    <w:rsid w:val="00951E02"/>
    <w:rsid w:val="0095263D"/>
    <w:rsid w:val="00976FE7"/>
    <w:rsid w:val="009B2533"/>
    <w:rsid w:val="00A16672"/>
    <w:rsid w:val="00A22B48"/>
    <w:rsid w:val="00A33E3B"/>
    <w:rsid w:val="00A927B9"/>
    <w:rsid w:val="00AC5DB3"/>
    <w:rsid w:val="00AD23BB"/>
    <w:rsid w:val="00AF1E4C"/>
    <w:rsid w:val="00B02EC2"/>
    <w:rsid w:val="00B103C8"/>
    <w:rsid w:val="00B210ED"/>
    <w:rsid w:val="00B41358"/>
    <w:rsid w:val="00B5447E"/>
    <w:rsid w:val="00B73249"/>
    <w:rsid w:val="00B87E37"/>
    <w:rsid w:val="00BB1C96"/>
    <w:rsid w:val="00BC6373"/>
    <w:rsid w:val="00C063F0"/>
    <w:rsid w:val="00C407EA"/>
    <w:rsid w:val="00CB10D4"/>
    <w:rsid w:val="00D21B59"/>
    <w:rsid w:val="00D23219"/>
    <w:rsid w:val="00D25A16"/>
    <w:rsid w:val="00D4079C"/>
    <w:rsid w:val="00D43DDA"/>
    <w:rsid w:val="00D56EDA"/>
    <w:rsid w:val="00D9342C"/>
    <w:rsid w:val="00DD3A4F"/>
    <w:rsid w:val="00DE15F6"/>
    <w:rsid w:val="00E060C6"/>
    <w:rsid w:val="00E1312C"/>
    <w:rsid w:val="00E16885"/>
    <w:rsid w:val="00E31799"/>
    <w:rsid w:val="00E47A48"/>
    <w:rsid w:val="00E73C26"/>
    <w:rsid w:val="00ED39D6"/>
    <w:rsid w:val="00ED6B46"/>
    <w:rsid w:val="00EE38D0"/>
    <w:rsid w:val="00F14510"/>
    <w:rsid w:val="00F30865"/>
    <w:rsid w:val="00F43700"/>
    <w:rsid w:val="00F459C0"/>
    <w:rsid w:val="00F55903"/>
    <w:rsid w:val="00F60B7A"/>
    <w:rsid w:val="00FA2B62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3F3920-6FB1-49E0-AB45-F716705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11">
    <w:name w:val="Знак1 Знак Знак Знак Знак Знак Знак Знак Знак Знак"/>
    <w:basedOn w:val="a"/>
    <w:next w:val="a"/>
    <w:link w:val="a0"/>
    <w:uiPriority w:val="99"/>
    <w:semiHidden/>
    <w:rsid w:val="00B103C8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10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2145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F459C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12">
    <w:name w:val="Знак1 Знак Знак Знак Знак Знак Знак Знак Знак Знак2"/>
    <w:basedOn w:val="a"/>
    <w:next w:val="a"/>
    <w:uiPriority w:val="99"/>
    <w:semiHidden/>
    <w:rsid w:val="00F3086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affff0">
    <w:name w:val="List Paragraph"/>
    <w:basedOn w:val="a"/>
    <w:uiPriority w:val="99"/>
    <w:qFormat/>
    <w:rsid w:val="00F4370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 Знак Знак Знак Знак Знак Знак Знак Знак Знак3"/>
    <w:basedOn w:val="a"/>
    <w:next w:val="a"/>
    <w:uiPriority w:val="99"/>
    <w:semiHidden/>
    <w:rsid w:val="00590FC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90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s3">
    <w:name w:val="s_3"/>
    <w:basedOn w:val="a"/>
    <w:rsid w:val="000838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838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838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1">
    <w:name w:val="Hyperlink"/>
    <w:basedOn w:val="a0"/>
    <w:uiPriority w:val="99"/>
    <w:semiHidden/>
    <w:unhideWhenUsed/>
    <w:rsid w:val="0008381B"/>
    <w:rPr>
      <w:rFonts w:cs="Times New Roman"/>
      <w:color w:val="0000FF"/>
      <w:u w:val="single"/>
    </w:rPr>
  </w:style>
  <w:style w:type="paragraph" w:customStyle="1" w:styleId="s37">
    <w:name w:val="s_37"/>
    <w:basedOn w:val="a"/>
    <w:rsid w:val="009526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EE38D0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EE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garantF1://8830899.0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Чамзинского муниципального района</vt:lpstr>
    </vt:vector>
  </TitlesOfParts>
  <Company>НПП "Гарант-Сервис"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2020-02-26T06:49:00Z</cp:lastPrinted>
  <dcterms:created xsi:type="dcterms:W3CDTF">2022-12-06T09:51:00Z</dcterms:created>
  <dcterms:modified xsi:type="dcterms:W3CDTF">2022-12-06T09:51:00Z</dcterms:modified>
</cp:coreProperties>
</file>